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202</w:t>
      </w:r>
      <w:r>
        <w:rPr>
          <w:rFonts w:hint="eastAsia" w:ascii="Times New Roman" w:hAnsi="Times New Roman" w:cs="Times New Roman"/>
          <w:b/>
          <w:sz w:val="30"/>
          <w:szCs w:val="30"/>
        </w:rPr>
        <w:t>3</w:t>
      </w:r>
      <w:r>
        <w:rPr>
          <w:rFonts w:ascii="Times New Roman" w:hAnsi="Times New Roman" w:cs="Times New Roman"/>
          <w:b/>
          <w:sz w:val="30"/>
          <w:szCs w:val="30"/>
        </w:rPr>
        <w:t>年度</w:t>
      </w:r>
      <w:r>
        <w:rPr>
          <w:rFonts w:hint="eastAsia" w:ascii="Times New Roman" w:hAnsi="Times New Roman" w:cs="Times New Roman"/>
          <w:b/>
          <w:sz w:val="30"/>
          <w:szCs w:val="30"/>
        </w:rPr>
        <w:t>国家科</w:t>
      </w:r>
      <w:r>
        <w:rPr>
          <w:rFonts w:ascii="Times New Roman" w:hAnsi="Times New Roman" w:cs="Times New Roman"/>
          <w:b/>
          <w:sz w:val="30"/>
          <w:szCs w:val="30"/>
        </w:rPr>
        <w:t>学技术奖公示表</w:t>
      </w:r>
    </w:p>
    <w:p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hint="eastAsia" w:ascii="Times New Roman" w:hAnsi="Times New Roman" w:cs="Times New Roman"/>
          <w:b/>
          <w:sz w:val="30"/>
          <w:szCs w:val="30"/>
        </w:rPr>
        <w:t>（科技进步奖）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6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</w:tcPr>
          <w:p>
            <w:pPr>
              <w:adjustRightInd w:val="0"/>
              <w:snapToGrid w:val="0"/>
              <w:spacing w:line="293" w:lineRule="auto"/>
              <w:jc w:val="center"/>
              <w:rPr>
                <w:rFonts w:eastAsia="仿宋_GB2312"/>
                <w:b/>
                <w:bCs/>
                <w:spacing w:val="-17"/>
              </w:rPr>
            </w:pPr>
            <w:r>
              <w:rPr>
                <w:rFonts w:eastAsia="仿宋_GB2312"/>
                <w:b/>
                <w:bCs/>
                <w:spacing w:val="-17"/>
              </w:rPr>
              <w:t>项目名称</w:t>
            </w:r>
          </w:p>
        </w:tc>
        <w:tc>
          <w:tcPr>
            <w:tcW w:w="6883" w:type="dxa"/>
            <w:vAlign w:val="center"/>
          </w:tcPr>
          <w:p>
            <w:pPr>
              <w:spacing w:line="293" w:lineRule="auto"/>
              <w:rPr>
                <w:rFonts w:ascii="仿宋" w:hAnsi="仿宋" w:eastAsia="仿宋" w:cs="Times New Roman"/>
              </w:rPr>
            </w:pPr>
            <w:bookmarkStart w:id="0" w:name="_GoBack"/>
            <w:r>
              <w:rPr>
                <w:rFonts w:ascii="仿宋" w:hAnsi="仿宋" w:eastAsia="仿宋" w:cs="Times New Roman"/>
              </w:rPr>
              <w:t>肿瘤影像智能评估关键技术创新和应用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</w:tcPr>
          <w:p>
            <w:pPr>
              <w:adjustRightInd w:val="0"/>
              <w:snapToGrid w:val="0"/>
              <w:spacing w:line="293" w:lineRule="auto"/>
              <w:jc w:val="center"/>
              <w:rPr>
                <w:rFonts w:eastAsia="仿宋_GB2312"/>
                <w:b/>
                <w:bCs/>
                <w:spacing w:val="-17"/>
              </w:rPr>
            </w:pPr>
            <w:r>
              <w:rPr>
                <w:rFonts w:hint="eastAsia" w:eastAsia="仿宋_GB2312"/>
                <w:b/>
                <w:bCs/>
                <w:spacing w:val="-17"/>
              </w:rPr>
              <w:t>提名者</w:t>
            </w:r>
          </w:p>
        </w:tc>
        <w:tc>
          <w:tcPr>
            <w:tcW w:w="6883" w:type="dxa"/>
            <w:vAlign w:val="center"/>
          </w:tcPr>
          <w:p>
            <w:pPr>
              <w:spacing w:line="293" w:lineRule="auto"/>
              <w:rPr>
                <w:rFonts w:ascii="仿宋" w:hAnsi="仿宋" w:eastAsia="仿宋" w:cs="Times New Roman"/>
              </w:rPr>
            </w:pPr>
            <w:r>
              <w:rPr>
                <w:rFonts w:hint="eastAsia" w:ascii="仿宋" w:hAnsi="仿宋" w:eastAsia="仿宋" w:cs="Times New Roman"/>
              </w:rPr>
              <w:t>广东省人民政府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Merge w:val="restart"/>
            <w:vAlign w:val="center"/>
          </w:tcPr>
          <w:p>
            <w:pPr>
              <w:adjustRightInd w:val="0"/>
              <w:snapToGrid w:val="0"/>
              <w:spacing w:line="293" w:lineRule="auto"/>
              <w:jc w:val="center"/>
              <w:rPr>
                <w:rFonts w:eastAsia="仿宋_GB2312"/>
                <w:b/>
                <w:bCs/>
                <w:spacing w:val="-17"/>
              </w:rPr>
            </w:pPr>
            <w:r>
              <w:rPr>
                <w:rFonts w:eastAsia="仿宋_GB2312"/>
                <w:b/>
                <w:bCs/>
                <w:spacing w:val="-17"/>
              </w:rPr>
              <w:t>主要完成</w:t>
            </w:r>
          </w:p>
          <w:p>
            <w:pPr>
              <w:adjustRightInd w:val="0"/>
              <w:snapToGrid w:val="0"/>
              <w:spacing w:line="293" w:lineRule="auto"/>
              <w:jc w:val="center"/>
              <w:rPr>
                <w:rFonts w:eastAsia="仿宋_GB2312"/>
                <w:b/>
                <w:bCs/>
                <w:spacing w:val="-17"/>
              </w:rPr>
            </w:pPr>
            <w:r>
              <w:rPr>
                <w:rFonts w:hint="eastAsia" w:eastAsia="仿宋_GB2312"/>
                <w:b/>
                <w:bCs/>
                <w:spacing w:val="-17"/>
              </w:rPr>
              <w:t>单位</w:t>
            </w:r>
          </w:p>
        </w:tc>
        <w:tc>
          <w:tcPr>
            <w:tcW w:w="6883" w:type="dxa"/>
            <w:vAlign w:val="center"/>
          </w:tcPr>
          <w:p>
            <w:pPr>
              <w:spacing w:line="293" w:lineRule="auto"/>
              <w:rPr>
                <w:rFonts w:ascii="仿宋" w:hAnsi="仿宋" w:eastAsia="仿宋" w:cs="Times New Roman"/>
              </w:rPr>
            </w:pPr>
            <w:r>
              <w:rPr>
                <w:rFonts w:ascii="仿宋" w:hAnsi="仿宋" w:eastAsia="仿宋" w:cs="Times New Roman"/>
              </w:rPr>
              <w:t xml:space="preserve">1 </w:t>
            </w:r>
            <w:r>
              <w:rPr>
                <w:rFonts w:hint="eastAsia" w:ascii="仿宋" w:hAnsi="仿宋" w:eastAsia="仿宋" w:cs="Times New Roman"/>
              </w:rPr>
              <w:t>广东省人民医院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Merge w:val="continue"/>
            <w:vAlign w:val="center"/>
          </w:tcPr>
          <w:p>
            <w:pPr>
              <w:spacing w:line="29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3" w:type="dxa"/>
            <w:vAlign w:val="center"/>
          </w:tcPr>
          <w:p>
            <w:pPr>
              <w:spacing w:line="293" w:lineRule="auto"/>
              <w:rPr>
                <w:rFonts w:ascii="仿宋" w:hAnsi="仿宋" w:eastAsia="仿宋" w:cs="Times New Roman"/>
              </w:rPr>
            </w:pPr>
            <w:r>
              <w:rPr>
                <w:rFonts w:ascii="仿宋" w:hAnsi="仿宋" w:eastAsia="仿宋" w:cs="Times New Roman"/>
              </w:rPr>
              <w:t xml:space="preserve">2 </w:t>
            </w:r>
            <w:r>
              <w:rPr>
                <w:rFonts w:hint="eastAsia" w:ascii="仿宋" w:hAnsi="仿宋" w:eastAsia="仿宋" w:cs="Times New Roman"/>
              </w:rPr>
              <w:t>华南理工大学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Merge w:val="continue"/>
            <w:vAlign w:val="center"/>
          </w:tcPr>
          <w:p>
            <w:pPr>
              <w:spacing w:line="29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3" w:type="dxa"/>
            <w:vAlign w:val="center"/>
          </w:tcPr>
          <w:p>
            <w:pPr>
              <w:spacing w:line="293" w:lineRule="auto"/>
              <w:rPr>
                <w:rFonts w:ascii="仿宋" w:hAnsi="仿宋" w:eastAsia="仿宋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Merge w:val="restart"/>
            <w:vAlign w:val="center"/>
          </w:tcPr>
          <w:p>
            <w:pPr>
              <w:adjustRightInd w:val="0"/>
              <w:snapToGrid w:val="0"/>
              <w:spacing w:line="293" w:lineRule="auto"/>
              <w:rPr>
                <w:rFonts w:ascii="Times New Roman" w:hAnsi="Times New Roman" w:cs="Times New Roman"/>
              </w:rPr>
            </w:pPr>
            <w:r>
              <w:rPr>
                <w:rFonts w:eastAsia="仿宋_GB2312"/>
                <w:b/>
                <w:bCs/>
                <w:spacing w:val="-17"/>
              </w:rPr>
              <w:t>主要完成</w:t>
            </w:r>
            <w:r>
              <w:rPr>
                <w:rFonts w:hint="eastAsia" w:eastAsia="仿宋_GB2312"/>
                <w:b/>
                <w:bCs/>
                <w:spacing w:val="-17"/>
              </w:rPr>
              <w:t>人</w:t>
            </w:r>
          </w:p>
        </w:tc>
        <w:tc>
          <w:tcPr>
            <w:tcW w:w="6883" w:type="dxa"/>
          </w:tcPr>
          <w:p>
            <w:pPr>
              <w:spacing w:line="293" w:lineRule="auto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</w:rPr>
              <w:t>1</w:t>
            </w:r>
            <w:r>
              <w:rPr>
                <w:rFonts w:ascii="Times New Roman" w:hAnsi="Times New Roman" w:eastAsia="仿宋" w:cs="Times New Roman"/>
                <w:szCs w:val="21"/>
              </w:rPr>
              <w:t xml:space="preserve">. </w:t>
            </w:r>
            <w:r>
              <w:rPr>
                <w:rFonts w:hint="eastAsia" w:ascii="Times New Roman" w:hAnsi="Times New Roman" w:eastAsia="仿宋" w:cs="Times New Roman"/>
                <w:szCs w:val="21"/>
              </w:rPr>
              <w:t>刘再毅（广东省人民医院）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Merge w:val="continue"/>
          </w:tcPr>
          <w:p>
            <w:pPr>
              <w:spacing w:line="29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3" w:type="dxa"/>
          </w:tcPr>
          <w:p>
            <w:pPr>
              <w:spacing w:line="293" w:lineRule="auto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</w:rPr>
              <w:t>2</w:t>
            </w:r>
            <w:r>
              <w:rPr>
                <w:rFonts w:ascii="Times New Roman" w:hAnsi="Times New Roman" w:eastAsia="仿宋" w:cs="Times New Roman"/>
                <w:szCs w:val="21"/>
              </w:rPr>
              <w:t xml:space="preserve">. </w:t>
            </w:r>
            <w:r>
              <w:rPr>
                <w:rFonts w:hint="eastAsia" w:ascii="Times New Roman" w:hAnsi="Times New Roman" w:eastAsia="仿宋" w:cs="Times New Roman"/>
                <w:szCs w:val="21"/>
              </w:rPr>
              <w:t>韩楚（广东省人民医院）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Merge w:val="continue"/>
          </w:tcPr>
          <w:p>
            <w:pPr>
              <w:spacing w:line="29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3" w:type="dxa"/>
          </w:tcPr>
          <w:p>
            <w:pPr>
              <w:spacing w:line="293" w:lineRule="auto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</w:rPr>
              <w:t>3</w:t>
            </w:r>
            <w:r>
              <w:rPr>
                <w:rFonts w:ascii="Times New Roman" w:hAnsi="Times New Roman" w:eastAsia="仿宋" w:cs="Times New Roman"/>
                <w:szCs w:val="21"/>
              </w:rPr>
              <w:t xml:space="preserve">. </w:t>
            </w:r>
            <w:r>
              <w:rPr>
                <w:rFonts w:hint="eastAsia" w:ascii="Times New Roman" w:hAnsi="Times New Roman" w:eastAsia="仿宋" w:cs="Times New Roman"/>
                <w:szCs w:val="21"/>
              </w:rPr>
              <w:t>黄燕琪（广东省人民医院）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Merge w:val="continue"/>
          </w:tcPr>
          <w:p>
            <w:pPr>
              <w:spacing w:line="29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3" w:type="dxa"/>
          </w:tcPr>
          <w:p>
            <w:pPr>
              <w:spacing w:line="293" w:lineRule="auto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</w:rPr>
              <w:t>4</w:t>
            </w:r>
            <w:r>
              <w:rPr>
                <w:rFonts w:ascii="Times New Roman" w:hAnsi="Times New Roman" w:eastAsia="仿宋" w:cs="Times New Roman"/>
                <w:szCs w:val="21"/>
              </w:rPr>
              <w:t xml:space="preserve">. </w:t>
            </w:r>
            <w:r>
              <w:rPr>
                <w:rFonts w:hint="eastAsia" w:ascii="Times New Roman" w:hAnsi="Times New Roman" w:eastAsia="仿宋" w:cs="Times New Roman"/>
                <w:szCs w:val="21"/>
              </w:rPr>
              <w:t>石镇维（广东省人民医院）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Merge w:val="continue"/>
          </w:tcPr>
          <w:p>
            <w:pPr>
              <w:spacing w:line="29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3" w:type="dxa"/>
          </w:tcPr>
          <w:p>
            <w:pPr>
              <w:spacing w:line="293" w:lineRule="auto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</w:rPr>
              <w:t>5</w:t>
            </w:r>
            <w:r>
              <w:rPr>
                <w:rFonts w:ascii="Times New Roman" w:hAnsi="Times New Roman" w:eastAsia="仿宋" w:cs="Times New Roman"/>
                <w:szCs w:val="21"/>
              </w:rPr>
              <w:t xml:space="preserve">. </w:t>
            </w:r>
            <w:r>
              <w:rPr>
                <w:rFonts w:hint="eastAsia" w:ascii="Times New Roman" w:hAnsi="Times New Roman" w:eastAsia="仿宋" w:cs="Times New Roman"/>
                <w:szCs w:val="21"/>
              </w:rPr>
              <w:t>陈鑫（完成单位：广东省人民医院，工作单位：广州市第一人民医院）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Merge w:val="continue"/>
          </w:tcPr>
          <w:p>
            <w:pPr>
              <w:spacing w:line="29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3" w:type="dxa"/>
          </w:tcPr>
          <w:p>
            <w:pPr>
              <w:spacing w:line="293" w:lineRule="auto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</w:rPr>
              <w:t>6</w:t>
            </w:r>
            <w:r>
              <w:rPr>
                <w:rFonts w:ascii="Times New Roman" w:hAnsi="Times New Roman" w:eastAsia="仿宋" w:cs="Times New Roman"/>
                <w:szCs w:val="21"/>
              </w:rPr>
              <w:t xml:space="preserve">. </w:t>
            </w:r>
            <w:r>
              <w:rPr>
                <w:rFonts w:hint="eastAsia" w:ascii="Times New Roman" w:hAnsi="Times New Roman" w:eastAsia="仿宋" w:cs="Times New Roman"/>
                <w:szCs w:val="21"/>
              </w:rPr>
              <w:t>赵可（广东省人民医院）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Merge w:val="continue"/>
          </w:tcPr>
          <w:p>
            <w:pPr>
              <w:spacing w:line="29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3" w:type="dxa"/>
          </w:tcPr>
          <w:p>
            <w:pPr>
              <w:spacing w:line="293" w:lineRule="auto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</w:rPr>
              <w:t>7</w:t>
            </w:r>
            <w:r>
              <w:rPr>
                <w:rFonts w:ascii="Times New Roman" w:hAnsi="Times New Roman" w:eastAsia="仿宋" w:cs="Times New Roman"/>
                <w:szCs w:val="21"/>
              </w:rPr>
              <w:t xml:space="preserve">. </w:t>
            </w:r>
            <w:r>
              <w:rPr>
                <w:rFonts w:hint="eastAsia" w:ascii="Times New Roman" w:hAnsi="Times New Roman" w:eastAsia="仿宋" w:cs="Times New Roman"/>
                <w:szCs w:val="21"/>
              </w:rPr>
              <w:t>何兰（广东省人民医院）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Merge w:val="continue"/>
          </w:tcPr>
          <w:p>
            <w:pPr>
              <w:spacing w:line="29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3" w:type="dxa"/>
          </w:tcPr>
          <w:p>
            <w:pPr>
              <w:spacing w:line="293" w:lineRule="auto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</w:rPr>
              <w:t>8</w:t>
            </w:r>
            <w:r>
              <w:rPr>
                <w:rFonts w:ascii="Times New Roman" w:hAnsi="Times New Roman" w:eastAsia="仿宋" w:cs="Times New Roman"/>
                <w:szCs w:val="21"/>
              </w:rPr>
              <w:t xml:space="preserve">. </w:t>
            </w:r>
            <w:r>
              <w:rPr>
                <w:rFonts w:hint="eastAsia" w:ascii="Times New Roman" w:hAnsi="Times New Roman" w:eastAsia="仿宋" w:cs="Times New Roman"/>
                <w:szCs w:val="21"/>
              </w:rPr>
              <w:t>吴磊（广东省人民医院）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Merge w:val="continue"/>
          </w:tcPr>
          <w:p>
            <w:pPr>
              <w:spacing w:line="29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3" w:type="dxa"/>
          </w:tcPr>
          <w:p>
            <w:pPr>
              <w:spacing w:line="293" w:lineRule="auto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</w:rPr>
              <w:t>9</w:t>
            </w:r>
            <w:r>
              <w:rPr>
                <w:rFonts w:ascii="Times New Roman" w:hAnsi="Times New Roman" w:eastAsia="仿宋" w:cs="Times New Roman"/>
                <w:szCs w:val="21"/>
              </w:rPr>
              <w:t xml:space="preserve">. </w:t>
            </w:r>
            <w:r>
              <w:rPr>
                <w:rFonts w:hint="eastAsia" w:ascii="Times New Roman" w:hAnsi="Times New Roman" w:eastAsia="仿宋" w:cs="Times New Roman"/>
                <w:szCs w:val="21"/>
              </w:rPr>
              <w:t>梁长虹（广东省人民医院）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Merge w:val="continue"/>
          </w:tcPr>
          <w:p>
            <w:pPr>
              <w:spacing w:line="29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3" w:type="dxa"/>
          </w:tcPr>
          <w:p>
            <w:pPr>
              <w:spacing w:line="293" w:lineRule="auto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</w:rPr>
              <w:t>1</w:t>
            </w:r>
            <w:r>
              <w:rPr>
                <w:rFonts w:ascii="Times New Roman" w:hAnsi="Times New Roman" w:eastAsia="仿宋" w:cs="Times New Roman"/>
                <w:szCs w:val="21"/>
              </w:rPr>
              <w:t xml:space="preserve">0. </w:t>
            </w:r>
            <w:r>
              <w:rPr>
                <w:rFonts w:hint="eastAsia" w:ascii="Times New Roman" w:hAnsi="Times New Roman" w:eastAsia="仿宋" w:cs="Times New Roman"/>
                <w:szCs w:val="21"/>
              </w:rPr>
              <w:t>韩国强（华南理工大学）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Merge w:val="restart"/>
            <w:vAlign w:val="center"/>
          </w:tcPr>
          <w:p>
            <w:pPr>
              <w:adjustRightInd w:val="0"/>
              <w:snapToGrid w:val="0"/>
              <w:spacing w:line="293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eastAsia="仿宋_GB2312"/>
                <w:b/>
                <w:bCs/>
                <w:spacing w:val="-17"/>
              </w:rPr>
              <w:t>主要知识产权和标准规范等目录</w:t>
            </w:r>
          </w:p>
        </w:tc>
        <w:tc>
          <w:tcPr>
            <w:tcW w:w="6883" w:type="dxa"/>
          </w:tcPr>
          <w:p>
            <w:pPr>
              <w:spacing w:line="293" w:lineRule="auto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</w:rPr>
              <w:t>（论文）</w:t>
            </w:r>
            <w:r>
              <w:rPr>
                <w:rFonts w:ascii="Times New Roman" w:hAnsi="Times New Roman" w:eastAsia="仿宋" w:cs="Times New Roman"/>
                <w:szCs w:val="21"/>
              </w:rPr>
              <w:t xml:space="preserve">Huang YQ#, Liang CH#, He L#, Tian J#, Liang CS, Chen X, Ma ZL, Liu ZY*. Development and Validation of a Radiomics Nomogram for Preoperative Prediction of Lymph Node Metastasis in Colorectal Cancer. J Clin Oncol. 2016 Jun 20;34(18):2157-64. doi: 10.1200/JCO.2015.65.9128. Epub 2016 May 2. Erratum in: J Clin Oncol. 2016 Jul 10;34(20):2436.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Merge w:val="continue"/>
          </w:tcPr>
          <w:p>
            <w:pPr>
              <w:spacing w:line="29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3" w:type="dxa"/>
          </w:tcPr>
          <w:p>
            <w:pPr>
              <w:spacing w:line="293" w:lineRule="auto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</w:rPr>
              <w:t>2</w:t>
            </w:r>
            <w:r>
              <w:rPr>
                <w:rFonts w:ascii="Times New Roman" w:hAnsi="Times New Roman" w:eastAsia="仿宋" w:cs="Times New Roman"/>
                <w:szCs w:val="21"/>
              </w:rPr>
              <w:t xml:space="preserve">. </w:t>
            </w:r>
            <w:r>
              <w:rPr>
                <w:rFonts w:hint="eastAsia" w:ascii="Times New Roman" w:hAnsi="Times New Roman" w:eastAsia="仿宋" w:cs="Times New Roman"/>
                <w:szCs w:val="21"/>
              </w:rPr>
              <w:t>（论文）</w:t>
            </w:r>
            <w:r>
              <w:rPr>
                <w:rFonts w:ascii="Times New Roman" w:hAnsi="Times New Roman" w:eastAsia="仿宋" w:cs="Times New Roman"/>
                <w:szCs w:val="21"/>
              </w:rPr>
              <w:t xml:space="preserve">Zhao B#, Chen X#, Li Z#, Yu Z#, Yao S, Yan L, Wang Y, Liu Z*, Liang C*, Han C*. Triple U-net: Hematoxylin-aware nuclei segmentation with progressive dense feature aggregation. Med Image Anal. 2020 Oct;65:101786.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Merge w:val="continue"/>
          </w:tcPr>
          <w:p>
            <w:pPr>
              <w:spacing w:line="29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3" w:type="dxa"/>
          </w:tcPr>
          <w:p>
            <w:pPr>
              <w:spacing w:line="293" w:lineRule="auto"/>
              <w:rPr>
                <w:rFonts w:hint="eastAsia" w:ascii="Times New Roman" w:hAnsi="Times New Roman" w:eastAsia="仿宋" w:cs="Times New Roman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</w:rPr>
              <w:t>3</w:t>
            </w:r>
            <w:r>
              <w:rPr>
                <w:rFonts w:ascii="Times New Roman" w:hAnsi="Times New Roman" w:eastAsia="仿宋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仿宋" w:cs="Times New Roman"/>
                <w:szCs w:val="21"/>
              </w:rPr>
              <w:t xml:space="preserve"> （软著）软件名称：广东省人民医院医学图像科研管理平台，著作权人：广东省人民医院;广州知汇云科技有限公司，证书号：软著登字第11412597号，登记号：2023SR0825426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Merge w:val="continue"/>
          </w:tcPr>
          <w:p>
            <w:pPr>
              <w:spacing w:line="29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3" w:type="dxa"/>
          </w:tcPr>
          <w:p>
            <w:pPr>
              <w:spacing w:line="293" w:lineRule="auto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</w:rPr>
              <w:t>4</w:t>
            </w:r>
            <w:r>
              <w:rPr>
                <w:rFonts w:ascii="Times New Roman" w:hAnsi="Times New Roman" w:eastAsia="仿宋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仿宋" w:cs="Times New Roman"/>
                <w:szCs w:val="21"/>
              </w:rPr>
              <w:t xml:space="preserve"> （论文）</w:t>
            </w:r>
            <w:r>
              <w:rPr>
                <w:rFonts w:ascii="Times New Roman" w:hAnsi="Times New Roman" w:eastAsia="仿宋" w:cs="Times New Roman"/>
                <w:szCs w:val="21"/>
              </w:rPr>
              <w:t xml:space="preserve">Huang Y#, Liu Z#, He L, Chen X, Pan D, Ma Z, Liang C, Tian J, Liang C*. Radiomics Signature: A Potential Biomarker for the Prediction of Disease-Free Survival in Early-Stage (I or II) Non-Small Cell Lung Cancer. Radiology. 2016 Dec;281(3):947-957.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Merge w:val="continue"/>
          </w:tcPr>
          <w:p>
            <w:pPr>
              <w:spacing w:line="29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3" w:type="dxa"/>
          </w:tcPr>
          <w:p>
            <w:pPr>
              <w:spacing w:line="293" w:lineRule="auto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5.</w:t>
            </w:r>
            <w:r>
              <w:rPr>
                <w:rFonts w:hint="eastAsia" w:ascii="Times New Roman" w:hAnsi="Times New Roman" w:eastAsia="仿宋" w:cs="Times New Roman"/>
                <w:szCs w:val="21"/>
              </w:rPr>
              <w:t xml:space="preserve"> （论文）</w:t>
            </w:r>
            <w:r>
              <w:rPr>
                <w:rFonts w:ascii="Times New Roman" w:hAnsi="Times New Roman" w:eastAsia="仿宋" w:cs="Times New Roman"/>
                <w:szCs w:val="21"/>
              </w:rPr>
              <w:t xml:space="preserve">Shi Z#, Huang X#, Cheng Z, Xu Z, Lin H, Liu C, Chen X, Liu C, Liang C, Lu C, Cui Y, Han C, Qu J, Shen J*, Liu Z*. MRI-based Quantification of Intratumoral Heterogeneity for Predicting Treatment Response to Neoadjuvant Chemotherapy in Breast Cancer. Radiology. 2023 Jul;308(1):e222830.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Merge w:val="continue"/>
          </w:tcPr>
          <w:p>
            <w:pPr>
              <w:spacing w:line="29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3" w:type="dxa"/>
            <w:shd w:val="clear" w:color="auto" w:fill="auto"/>
          </w:tcPr>
          <w:p>
            <w:pPr>
              <w:spacing w:line="293" w:lineRule="auto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6.</w:t>
            </w:r>
            <w:r>
              <w:rPr>
                <w:rFonts w:hint="eastAsia" w:ascii="Times New Roman" w:hAnsi="Times New Roman" w:eastAsia="仿宋" w:cs="Times New Roman"/>
                <w:szCs w:val="21"/>
              </w:rPr>
              <w:t xml:space="preserve"> （论文）</w:t>
            </w:r>
            <w:r>
              <w:rPr>
                <w:rFonts w:ascii="Times New Roman" w:hAnsi="Times New Roman" w:eastAsia="仿宋" w:cs="Times New Roman"/>
                <w:szCs w:val="21"/>
              </w:rPr>
              <w:t>Lin J#, Han G#, Pan X#, Liu Z, Chen H, Li D, Jia X, Shi Z, Wang Z, Cui Y, Li H, Liang C, Liang L*, Wang Y*, Han C*. PDBL: Improving Histopathological Tissue Classification With Plug-and-Play Pyramidal Deep-Broad Learning. IEEE Trans Med Imaging. 2022 Sep;41(9):2252-2262.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Merge w:val="continue"/>
          </w:tcPr>
          <w:p>
            <w:pPr>
              <w:spacing w:line="29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3" w:type="dxa"/>
          </w:tcPr>
          <w:p>
            <w:pPr>
              <w:spacing w:line="293" w:lineRule="auto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7.</w:t>
            </w:r>
            <w:r>
              <w:rPr>
                <w:rFonts w:hint="eastAsia" w:ascii="Times New Roman" w:hAnsi="Times New Roman" w:eastAsia="仿宋" w:cs="Times New Roman"/>
                <w:szCs w:val="21"/>
              </w:rPr>
              <w:t xml:space="preserve"> （论文）</w:t>
            </w:r>
            <w:r>
              <w:rPr>
                <w:rFonts w:ascii="Times New Roman" w:hAnsi="Times New Roman" w:eastAsia="仿宋" w:cs="Times New Roman"/>
                <w:szCs w:val="21"/>
              </w:rPr>
              <w:t>Zhao K#, Li Z#, Yao S#, Wang Y, Wu X, Xu Z, Wu L, Huang Y#*, Liang C#*, Liu Z#*. Artificial intelligence quantified tumour-stroma ratio is an independent predictor for overall survival in resectable colorectal cancer. EBioMedicine. 2020 Oct 8;61:103054.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Merge w:val="continue"/>
          </w:tcPr>
          <w:p>
            <w:pPr>
              <w:spacing w:line="29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3" w:type="dxa"/>
          </w:tcPr>
          <w:p>
            <w:pPr>
              <w:spacing w:line="293" w:lineRule="auto"/>
              <w:rPr>
                <w:rFonts w:hint="eastAsia"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8.</w:t>
            </w:r>
            <w:r>
              <w:rPr>
                <w:rFonts w:hint="eastAsia" w:ascii="Times New Roman" w:hAnsi="Times New Roman" w:eastAsia="仿宋" w:cs="Times New Roman"/>
                <w:szCs w:val="21"/>
              </w:rPr>
              <w:t xml:space="preserve"> （专利）</w:t>
            </w:r>
            <w:r>
              <w:rPr>
                <w:rFonts w:ascii="Times New Roman" w:hAnsi="Times New Roman" w:eastAsia="仿宋" w:cs="Times New Roman"/>
                <w:szCs w:val="21"/>
              </w:rPr>
              <w:t>一种基于影像组学量化肿瘤免疫状态的方法</w:t>
            </w:r>
            <w:r>
              <w:rPr>
                <w:rFonts w:hint="eastAsia" w:ascii="Times New Roman" w:hAnsi="Times New Roman" w:eastAsia="仿宋" w:cs="Times New Roman"/>
                <w:szCs w:val="21"/>
              </w:rPr>
              <w:t>，发明专利授权号：ZL 201910515916.3，发明人：刘再毅; 梁长虹; 揭光灵; 赵可; 张芳; 何兰; 王瑛; 陈鑫; 黄燕琪; 颜黎栩; 李振辉，权利人：广东省人民医院，授权日2021.08.13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Merge w:val="continue"/>
          </w:tcPr>
          <w:p>
            <w:pPr>
              <w:spacing w:line="29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3" w:type="dxa"/>
          </w:tcPr>
          <w:p>
            <w:pPr>
              <w:spacing w:line="293" w:lineRule="auto"/>
              <w:rPr>
                <w:rFonts w:hint="eastAsia"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9.</w:t>
            </w:r>
            <w:r>
              <w:rPr>
                <w:rFonts w:hint="eastAsia" w:ascii="Times New Roman" w:hAnsi="Times New Roman" w:eastAsia="仿宋" w:cs="Times New Roman"/>
                <w:szCs w:val="21"/>
              </w:rPr>
              <w:t xml:space="preserve"> （软著）软件名称：影像组学数据分析软件，著作权人：李亚军;程梓轩;何兰;陈鑫;黄燕琪;赵可;吴磊;梁长虹;刘再毅，证书号：软著登字第4242779号，登记号：2019SR0822022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Merge w:val="continue"/>
          </w:tcPr>
          <w:p>
            <w:pPr>
              <w:spacing w:line="29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3" w:type="dxa"/>
          </w:tcPr>
          <w:p>
            <w:pPr>
              <w:spacing w:line="293" w:lineRule="auto"/>
              <w:rPr>
                <w:rFonts w:hint="eastAsia"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10.</w:t>
            </w:r>
            <w:r>
              <w:rPr>
                <w:rFonts w:hint="eastAsia" w:ascii="Times New Roman" w:hAnsi="Times New Roman" w:eastAsia="仿宋" w:cs="Times New Roman"/>
                <w:szCs w:val="21"/>
              </w:rPr>
              <w:t xml:space="preserve"> （专利）</w:t>
            </w:r>
            <w:r>
              <w:rPr>
                <w:rFonts w:ascii="Times New Roman" w:hAnsi="Times New Roman" w:eastAsia="仿宋" w:cs="Times New Roman"/>
                <w:szCs w:val="21"/>
              </w:rPr>
              <w:t>一种新型多尺度深宽结合的病理图片分类方法、系统及介质</w:t>
            </w:r>
            <w:r>
              <w:rPr>
                <w:rFonts w:hint="eastAsia" w:ascii="Times New Roman" w:hAnsi="Times New Roman" w:eastAsia="仿宋" w:cs="Times New Roman"/>
                <w:szCs w:val="21"/>
              </w:rPr>
              <w:t>，发明专利授权号：ZL202110923812.3，发明人：韩楚;林佳泰;韩国强;刘再毅;梁长虹;石镇维;潘细朋;李振辉;陈鑫;赵可，权利人：广东省人民医院，授权日2022.12.06</w:t>
            </w:r>
          </w:p>
        </w:tc>
      </w:tr>
    </w:tbl>
    <w:p>
      <w:pPr>
        <w:jc w:val="center"/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10" w:usb3="00000000" w:csb0="0004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Y0MWMyNDUyMGFhYWI4MmY3NWU3Y2QyODEzOWM5MDgifQ=="/>
  </w:docVars>
  <w:rsids>
    <w:rsidRoot w:val="00154D21"/>
    <w:rsid w:val="00005A06"/>
    <w:rsid w:val="000114A2"/>
    <w:rsid w:val="0002046D"/>
    <w:rsid w:val="00022250"/>
    <w:rsid w:val="000501DF"/>
    <w:rsid w:val="00050390"/>
    <w:rsid w:val="00076D11"/>
    <w:rsid w:val="00084B28"/>
    <w:rsid w:val="00087A1B"/>
    <w:rsid w:val="00094416"/>
    <w:rsid w:val="000A5FCF"/>
    <w:rsid w:val="000B23A2"/>
    <w:rsid w:val="000D00D4"/>
    <w:rsid w:val="000D135B"/>
    <w:rsid w:val="000E345A"/>
    <w:rsid w:val="000F0C7D"/>
    <w:rsid w:val="000F4CE1"/>
    <w:rsid w:val="0014378C"/>
    <w:rsid w:val="00154D21"/>
    <w:rsid w:val="00172DF3"/>
    <w:rsid w:val="0017465A"/>
    <w:rsid w:val="00177A4C"/>
    <w:rsid w:val="001A08B6"/>
    <w:rsid w:val="001A1A13"/>
    <w:rsid w:val="001B164A"/>
    <w:rsid w:val="001E1FE7"/>
    <w:rsid w:val="001E2DCA"/>
    <w:rsid w:val="00200DB7"/>
    <w:rsid w:val="00215BC4"/>
    <w:rsid w:val="002525F4"/>
    <w:rsid w:val="0027687C"/>
    <w:rsid w:val="00302CD1"/>
    <w:rsid w:val="0031492B"/>
    <w:rsid w:val="00315C38"/>
    <w:rsid w:val="00352DDB"/>
    <w:rsid w:val="00364CF0"/>
    <w:rsid w:val="00364D56"/>
    <w:rsid w:val="00373DEF"/>
    <w:rsid w:val="003C752F"/>
    <w:rsid w:val="003D44E7"/>
    <w:rsid w:val="003E6F89"/>
    <w:rsid w:val="0040061C"/>
    <w:rsid w:val="004023EB"/>
    <w:rsid w:val="00421FFE"/>
    <w:rsid w:val="00430147"/>
    <w:rsid w:val="00441708"/>
    <w:rsid w:val="00465A06"/>
    <w:rsid w:val="00467CD2"/>
    <w:rsid w:val="0047692B"/>
    <w:rsid w:val="00477CB5"/>
    <w:rsid w:val="00482F11"/>
    <w:rsid w:val="004A027F"/>
    <w:rsid w:val="004D0F1F"/>
    <w:rsid w:val="004F2E9A"/>
    <w:rsid w:val="00551E60"/>
    <w:rsid w:val="005678CE"/>
    <w:rsid w:val="00583D30"/>
    <w:rsid w:val="005A034D"/>
    <w:rsid w:val="005A3215"/>
    <w:rsid w:val="005B332A"/>
    <w:rsid w:val="005D06E8"/>
    <w:rsid w:val="005E49AA"/>
    <w:rsid w:val="005E6F7C"/>
    <w:rsid w:val="005F1D03"/>
    <w:rsid w:val="00617C49"/>
    <w:rsid w:val="0063442E"/>
    <w:rsid w:val="00651804"/>
    <w:rsid w:val="00681456"/>
    <w:rsid w:val="00697A5B"/>
    <w:rsid w:val="006C41B4"/>
    <w:rsid w:val="006D4756"/>
    <w:rsid w:val="006D5CE4"/>
    <w:rsid w:val="006E5BEF"/>
    <w:rsid w:val="006E7F4D"/>
    <w:rsid w:val="00711DE3"/>
    <w:rsid w:val="00723F6F"/>
    <w:rsid w:val="0073575C"/>
    <w:rsid w:val="00740932"/>
    <w:rsid w:val="0077432A"/>
    <w:rsid w:val="00776F1F"/>
    <w:rsid w:val="00784802"/>
    <w:rsid w:val="007D5B6F"/>
    <w:rsid w:val="007D5BE4"/>
    <w:rsid w:val="00821554"/>
    <w:rsid w:val="008670E5"/>
    <w:rsid w:val="008738A7"/>
    <w:rsid w:val="008A0F2D"/>
    <w:rsid w:val="008A47AD"/>
    <w:rsid w:val="008A73FA"/>
    <w:rsid w:val="008B7DCC"/>
    <w:rsid w:val="008C24E6"/>
    <w:rsid w:val="008D43A1"/>
    <w:rsid w:val="0091204B"/>
    <w:rsid w:val="009321A3"/>
    <w:rsid w:val="00934AA9"/>
    <w:rsid w:val="00971297"/>
    <w:rsid w:val="009B793A"/>
    <w:rsid w:val="009E7EB7"/>
    <w:rsid w:val="00A27B8D"/>
    <w:rsid w:val="00A30B91"/>
    <w:rsid w:val="00A34950"/>
    <w:rsid w:val="00A35BE7"/>
    <w:rsid w:val="00A51A47"/>
    <w:rsid w:val="00A73B44"/>
    <w:rsid w:val="00AB07F4"/>
    <w:rsid w:val="00AC100E"/>
    <w:rsid w:val="00AE6D00"/>
    <w:rsid w:val="00AF562C"/>
    <w:rsid w:val="00B15833"/>
    <w:rsid w:val="00B30541"/>
    <w:rsid w:val="00B33983"/>
    <w:rsid w:val="00B642E6"/>
    <w:rsid w:val="00B8470F"/>
    <w:rsid w:val="00BA7D2B"/>
    <w:rsid w:val="00BB0D4A"/>
    <w:rsid w:val="00BC505D"/>
    <w:rsid w:val="00C14757"/>
    <w:rsid w:val="00C23868"/>
    <w:rsid w:val="00C31019"/>
    <w:rsid w:val="00C74F18"/>
    <w:rsid w:val="00C8516E"/>
    <w:rsid w:val="00C92BAE"/>
    <w:rsid w:val="00CA5C93"/>
    <w:rsid w:val="00D16677"/>
    <w:rsid w:val="00D81647"/>
    <w:rsid w:val="00DD10B3"/>
    <w:rsid w:val="00E007F1"/>
    <w:rsid w:val="00E019EF"/>
    <w:rsid w:val="00E10747"/>
    <w:rsid w:val="00E2790A"/>
    <w:rsid w:val="00E30901"/>
    <w:rsid w:val="00E462C7"/>
    <w:rsid w:val="00E52EA0"/>
    <w:rsid w:val="00E71326"/>
    <w:rsid w:val="00E74B61"/>
    <w:rsid w:val="00E8681A"/>
    <w:rsid w:val="00E87F4D"/>
    <w:rsid w:val="00F24F01"/>
    <w:rsid w:val="00F31982"/>
    <w:rsid w:val="00F33971"/>
    <w:rsid w:val="00F738CA"/>
    <w:rsid w:val="00FA6E8E"/>
    <w:rsid w:val="00FB1C51"/>
    <w:rsid w:val="00FB219A"/>
    <w:rsid w:val="00FB5722"/>
    <w:rsid w:val="00FD22F1"/>
    <w:rsid w:val="32FB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pPr>
      <w:spacing w:after="120"/>
    </w:pPr>
  </w:style>
  <w:style w:type="paragraph" w:styleId="3">
    <w:name w:val="footer"/>
    <w:basedOn w:val="1"/>
    <w:link w:val="11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widowControl w:val="0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361</Words>
  <Characters>2062</Characters>
  <Lines>17</Lines>
  <Paragraphs>4</Paragraphs>
  <TotalTime>0</TotalTime>
  <ScaleCrop>false</ScaleCrop>
  <LinksUpToDate>false</LinksUpToDate>
  <CharactersWithSpaces>2419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2023-12-23T05:22:00Z</dcterms:created>
  <dc:creator>lm</dc:creator>
  <cp:lastModifiedBy>Yan</cp:lastModifiedBy>
  <dcterms:modified xsi:type="dcterms:W3CDTF">2023-12-23T11:13:57Z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16ED40930B6B4BCB97D697EA1A2E7C4D_13</vt:lpwstr>
  </property>
</Properties>
</file>