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7CFD3">
      <w:pPr>
        <w:widowControl/>
        <w:spacing w:line="360" w:lineRule="auto"/>
        <w:jc w:val="center"/>
        <w:rPr>
          <w:rFonts w:hint="eastAsia"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2026年全国教育科学规划</w:t>
      </w:r>
    </w:p>
    <w:p w14:paraId="4D61D6B2">
      <w:pPr>
        <w:widowControl/>
        <w:spacing w:line="360" w:lineRule="auto"/>
        <w:jc w:val="center"/>
        <w:rPr>
          <w:rFonts w:hint="eastAsia"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学生发展研究专项指南</w:t>
      </w:r>
    </w:p>
    <w:p w14:paraId="242005D2">
      <w:pPr>
        <w:widowControl/>
        <w:spacing w:line="360" w:lineRule="auto"/>
        <w:rPr>
          <w:rFonts w:hint="eastAsia" w:ascii="方正小标宋简体" w:hAnsi="方正小标宋简体" w:eastAsia="方正小标宋简体" w:cs="方正小标宋简体"/>
          <w:bCs/>
          <w:color w:val="auto"/>
          <w:sz w:val="36"/>
          <w:szCs w:val="36"/>
          <w:highlight w:val="none"/>
        </w:rPr>
      </w:pPr>
    </w:p>
    <w:p w14:paraId="48848BA2">
      <w:pPr>
        <w:spacing w:line="360" w:lineRule="auto"/>
        <w:ind w:firstLine="640" w:firstLineChars="200"/>
        <w:rPr>
          <w:rFonts w:hint="eastAsia"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学生发展研究专项包括</w:t>
      </w:r>
      <w:r>
        <w:rPr>
          <w:rFonts w:hint="eastAsia" w:ascii="Times New Roman" w:hAnsi="Times New Roman" w:eastAsia="仿宋_GB2312" w:cs="Times New Roman"/>
          <w:color w:val="auto"/>
          <w:sz w:val="32"/>
          <w:szCs w:val="32"/>
          <w:highlight w:val="none"/>
        </w:rPr>
        <w:t>重大、</w:t>
      </w:r>
      <w:r>
        <w:rPr>
          <w:rFonts w:ascii="Times New Roman" w:hAnsi="Times New Roman" w:eastAsia="仿宋_GB2312" w:cs="Times New Roman"/>
          <w:color w:val="auto"/>
          <w:sz w:val="32"/>
          <w:szCs w:val="32"/>
          <w:highlight w:val="none"/>
        </w:rPr>
        <w:t>重点和一般项目。申报专项须从指南中选题，并按照指南意图进行研究设计。自拟选题不予受理。原则上每个选题只确立1个立项项目。重大、重点项目研究期限为2年，一般项目研究期限为1年，不得延期。</w:t>
      </w:r>
    </w:p>
    <w:p w14:paraId="06847CB3">
      <w:pPr>
        <w:pStyle w:val="2"/>
        <w:keepNext w:val="0"/>
        <w:keepLines w:val="0"/>
        <w:widowControl/>
        <w:spacing w:line="360" w:lineRule="auto"/>
        <w:ind w:firstLine="640"/>
        <w:rPr>
          <w:rFonts w:hint="eastAsia" w:ascii="黑体" w:hAnsi="黑体" w:cs="黑体"/>
          <w:color w:val="auto"/>
          <w:szCs w:val="32"/>
          <w:highlight w:val="none"/>
        </w:rPr>
      </w:pPr>
      <w:r>
        <w:rPr>
          <w:rFonts w:hint="eastAsia" w:ascii="黑体" w:hAnsi="黑体" w:cs="黑体"/>
          <w:color w:val="auto"/>
          <w:szCs w:val="32"/>
          <w:highlight w:val="none"/>
        </w:rPr>
        <w:t>1.高等教育数据资源运营机制和路径研究（重大）</w:t>
      </w:r>
    </w:p>
    <w:p w14:paraId="72631F96">
      <w:pPr>
        <w:widowControl/>
        <w:numPr>
          <w:ilvl w:val="255"/>
          <w:numId w:val="0"/>
        </w:numPr>
        <w:spacing w:line="360" w:lineRule="auto"/>
        <w:ind w:firstLine="640"/>
        <w:jc w:val="left"/>
        <w:rPr>
          <w:rFonts w:hint="eastAsia" w:ascii="仿宋_GB2312" w:hAnsi="仿宋_GB2312" w:eastAsia="仿宋_GB2312" w:cs="仿宋_GB2312"/>
          <w:color w:val="auto"/>
          <w:sz w:val="32"/>
          <w:szCs w:val="32"/>
          <w:highlight w:val="none"/>
          <w:lang w:bidi="ar"/>
        </w:rPr>
      </w:pPr>
      <w:r>
        <w:rPr>
          <w:rFonts w:hint="eastAsia" w:ascii="楷体_GB2312" w:hAnsi="楷体_GB2312" w:eastAsia="楷体_GB2312" w:cs="楷体_GB2312"/>
          <w:color w:val="auto"/>
          <w:sz w:val="32"/>
          <w:szCs w:val="32"/>
          <w:highlight w:val="none"/>
        </w:rPr>
        <w:t>指南意图：</w:t>
      </w:r>
      <w:r>
        <w:rPr>
          <w:rFonts w:hint="eastAsia" w:ascii="仿宋_GB2312" w:hAnsi="仿宋_GB2312" w:eastAsia="仿宋_GB2312" w:cs="仿宋_GB2312"/>
          <w:color w:val="auto"/>
          <w:sz w:val="32"/>
          <w:szCs w:val="32"/>
          <w:highlight w:val="none"/>
          <w:lang w:bidi="ar"/>
        </w:rPr>
        <w:t>（1）对高等教育相关领域数据的现状开展调研；（2）研究符合高等教育数据资源特征的、分层分类的价格机制，探索其成本构成和动态变化特征及关键驱动因素；（3）研究高等教育数据资源多元的市场需求与发展趋势、当前教育数据资源开发利用面临的困境等；（4）研究高等教育相关数据资源运营的案例经验、以及其对相关数据资源从政府引导到市场主导的运营价格机制的启示</w:t>
      </w:r>
      <w:r>
        <w:rPr>
          <w:rFonts w:hint="eastAsia" w:ascii="仿宋_GB2312" w:hAnsi="仿宋_GB2312" w:eastAsia="仿宋_GB2312" w:cs="仿宋_GB2312"/>
          <w:color w:val="auto"/>
          <w:sz w:val="32"/>
          <w:szCs w:val="32"/>
          <w:highlight w:val="none"/>
          <w:lang w:bidi="ar"/>
        </w:rPr>
        <w:t>；（5）基于“特性分析—现状诊断—成本收益解构—市场研判—机制设计—路径规划”逻辑链条研究短期、中期和长期的完整运营体系、实现路径和制度保障。</w:t>
      </w:r>
    </w:p>
    <w:p w14:paraId="1C01E3A7">
      <w:pPr>
        <w:pStyle w:val="2"/>
        <w:keepNext w:val="0"/>
        <w:keepLines w:val="0"/>
        <w:widowControl/>
        <w:spacing w:line="360" w:lineRule="auto"/>
        <w:ind w:firstLine="640"/>
        <w:rPr>
          <w:rFonts w:hint="eastAsia" w:ascii="黑体" w:hAnsi="黑体" w:cs="黑体"/>
          <w:color w:val="auto"/>
          <w:szCs w:val="32"/>
          <w:highlight w:val="none"/>
        </w:rPr>
      </w:pPr>
      <w:r>
        <w:rPr>
          <w:rFonts w:hint="eastAsia" w:ascii="黑体" w:hAnsi="黑体" w:cs="黑体"/>
          <w:color w:val="auto"/>
          <w:szCs w:val="32"/>
          <w:highlight w:val="none"/>
        </w:rPr>
        <w:t>2.促进高校毕业生高质量充分就业的就业创业政策研究（重点）</w:t>
      </w:r>
    </w:p>
    <w:p w14:paraId="7BDBE9CA">
      <w:pPr>
        <w:spacing w:line="360" w:lineRule="auto"/>
        <w:ind w:firstLine="640" w:firstLineChars="200"/>
        <w:jc w:val="left"/>
        <w:rPr>
          <w:rFonts w:hint="eastAsia" w:ascii="仿宋_GB2312" w:hAnsi="仿宋_GB2312" w:eastAsia="仿宋_GB2312" w:cs="仿宋_GB2312"/>
          <w:color w:val="auto"/>
          <w:sz w:val="32"/>
          <w:szCs w:val="32"/>
          <w:highlight w:val="none"/>
          <w:lang w:bidi="ar"/>
        </w:rPr>
      </w:pPr>
      <w:r>
        <w:rPr>
          <w:rFonts w:hint="eastAsia" w:ascii="楷体_GB2312" w:hAnsi="楷体_GB2312" w:eastAsia="楷体_GB2312" w:cs="楷体_GB2312"/>
          <w:color w:val="auto"/>
          <w:sz w:val="32"/>
          <w:szCs w:val="32"/>
          <w:highlight w:val="none"/>
        </w:rPr>
        <w:t>指南意图：</w:t>
      </w:r>
      <w:r>
        <w:rPr>
          <w:rFonts w:hint="eastAsia" w:ascii="仿宋_GB2312" w:hAnsi="仿宋_GB2312" w:eastAsia="仿宋_GB2312" w:cs="仿宋_GB2312"/>
          <w:color w:val="auto"/>
          <w:sz w:val="32"/>
          <w:szCs w:val="32"/>
          <w:highlight w:val="none"/>
          <w:lang w:bidi="ar"/>
        </w:rPr>
        <w:t>（1）分析高校毕业生就业创业政策的实施现状、成效与问题；（2）研究高校毕业生就业创业政策演变历程及实施效果评估方法；（3）研究基层就业、灵活就业、创业扶持等重点领域政策优化路径；（4）研究数字经济、乡村振兴等新领域就业潜力挖掘与拓展机制；（5）研究政企校协同育人、协同就业、协同服务的创新机制。</w:t>
      </w:r>
    </w:p>
    <w:p w14:paraId="44DE3FDF">
      <w:pPr>
        <w:pStyle w:val="2"/>
        <w:keepNext w:val="0"/>
        <w:keepLines w:val="0"/>
        <w:widowControl/>
        <w:spacing w:line="360" w:lineRule="auto"/>
        <w:ind w:firstLine="640"/>
        <w:rPr>
          <w:rFonts w:hint="eastAsia" w:ascii="黑体" w:hAnsi="黑体" w:cs="黑体"/>
          <w:color w:val="auto"/>
          <w:szCs w:val="32"/>
          <w:highlight w:val="none"/>
        </w:rPr>
      </w:pPr>
      <w:r>
        <w:rPr>
          <w:rFonts w:hint="eastAsia" w:ascii="黑体" w:hAnsi="黑体" w:cs="黑体"/>
          <w:color w:val="auto"/>
          <w:szCs w:val="32"/>
          <w:highlight w:val="none"/>
        </w:rPr>
        <w:t>3.“以学生为中心”的学生全面发展服务支持体系研究（重点）</w:t>
      </w:r>
    </w:p>
    <w:p w14:paraId="543859AD">
      <w:pPr>
        <w:widowControl/>
        <w:numPr>
          <w:ilvl w:val="255"/>
          <w:numId w:val="0"/>
        </w:numPr>
        <w:spacing w:line="360" w:lineRule="auto"/>
        <w:ind w:firstLine="640" w:firstLineChars="200"/>
        <w:jc w:val="left"/>
        <w:rPr>
          <w:rStyle w:val="7"/>
          <w:rFonts w:hint="eastAsia" w:ascii="仿宋_GB2312" w:hAnsi="仿宋_GB2312" w:eastAsia="仿宋_GB2312" w:cs="仿宋_GB2312"/>
          <w:bCs/>
          <w:color w:val="auto"/>
          <w:sz w:val="32"/>
          <w:szCs w:val="32"/>
          <w:highlight w:val="none"/>
          <w:shd w:val="clear" w:color="auto" w:fill="FFFFFF"/>
        </w:rPr>
      </w:pPr>
      <w:r>
        <w:rPr>
          <w:rFonts w:hint="eastAsia" w:ascii="楷体_GB2312" w:hAnsi="楷体_GB2312" w:eastAsia="楷体_GB2312" w:cs="楷体_GB2312"/>
          <w:color w:val="auto"/>
          <w:sz w:val="32"/>
          <w:szCs w:val="32"/>
          <w:highlight w:val="none"/>
        </w:rPr>
        <w:t>指南意图：</w:t>
      </w:r>
      <w:r>
        <w:rPr>
          <w:rFonts w:hint="eastAsia" w:ascii="仿宋_GB2312" w:hAnsi="仿宋_GB2312" w:eastAsia="仿宋_GB2312" w:cs="仿宋_GB2312"/>
          <w:color w:val="auto"/>
          <w:sz w:val="32"/>
          <w:szCs w:val="32"/>
          <w:highlight w:val="none"/>
          <w:lang w:bidi="ar"/>
        </w:rPr>
        <w:t>（1）系统阐释新时代“以学生为中心”的概念、内涵、特征；（2）分析“以学生为中心”的大中小学生全面发展服务支持体系的构成要素；（3）探究大中小学生全面发展的协同促进机制；（4）重点从学习、素质发展、服务、资源、保障支持等维度，探索构建“以学生为中心”的系统实施方案和实践路径。</w:t>
      </w:r>
    </w:p>
    <w:p w14:paraId="0FEFE208">
      <w:pPr>
        <w:pStyle w:val="2"/>
        <w:keepNext w:val="0"/>
        <w:keepLines w:val="0"/>
        <w:widowControl/>
        <w:spacing w:line="360" w:lineRule="auto"/>
        <w:ind w:firstLine="640"/>
        <w:rPr>
          <w:rFonts w:hint="eastAsia" w:ascii="黑体" w:hAnsi="黑体" w:cs="黑体"/>
          <w:color w:val="auto"/>
          <w:szCs w:val="32"/>
          <w:highlight w:val="none"/>
        </w:rPr>
      </w:pPr>
      <w:r>
        <w:rPr>
          <w:rFonts w:hint="eastAsia" w:ascii="黑体" w:hAnsi="黑体" w:cs="黑体"/>
          <w:color w:val="auto"/>
          <w:szCs w:val="32"/>
          <w:highlight w:val="none"/>
        </w:rPr>
        <w:t>4.“投资于人”战略视角下高等教育人才供需适配理论与实践研究（一般）</w:t>
      </w:r>
    </w:p>
    <w:p w14:paraId="47B3A996">
      <w:pPr>
        <w:spacing w:line="360" w:lineRule="auto"/>
        <w:ind w:firstLine="640" w:firstLineChars="200"/>
        <w:jc w:val="left"/>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rPr>
        <w:t>指南意图：</w:t>
      </w:r>
      <w:r>
        <w:rPr>
          <w:rFonts w:hint="eastAsia" w:ascii="仿宋_GB2312" w:hAnsi="仿宋_GB2312" w:eastAsia="仿宋_GB2312" w:cs="仿宋_GB2312"/>
          <w:color w:val="auto"/>
          <w:sz w:val="32"/>
          <w:szCs w:val="32"/>
          <w:highlight w:val="none"/>
          <w:lang w:bidi="ar"/>
        </w:rPr>
        <w:t>（1）基于宏观数据与调研，</w:t>
      </w:r>
      <w:r>
        <w:rPr>
          <w:rFonts w:hint="eastAsia" w:ascii="仿宋_GB2312" w:hAnsi="仿宋_GB2312" w:eastAsia="仿宋_GB2312" w:cs="仿宋_GB2312"/>
          <w:color w:val="auto"/>
          <w:sz w:val="32"/>
          <w:szCs w:val="32"/>
          <w:highlight w:val="none"/>
          <w:lang w:bidi="ar"/>
        </w:rPr>
        <w:t>分析我国人才供需</w:t>
      </w:r>
      <w:r>
        <w:rPr>
          <w:rFonts w:hint="eastAsia" w:ascii="仿宋_GB2312" w:hAnsi="仿宋_GB2312" w:eastAsia="仿宋_GB2312" w:cs="仿宋_GB2312"/>
          <w:color w:val="auto"/>
          <w:sz w:val="32"/>
          <w:szCs w:val="32"/>
          <w:highlight w:val="none"/>
          <w:lang w:val="en-US" w:eastAsia="zh-CN" w:bidi="ar"/>
        </w:rPr>
        <w:t>适配</w:t>
      </w:r>
      <w:r>
        <w:rPr>
          <w:rFonts w:hint="eastAsia" w:ascii="仿宋_GB2312" w:hAnsi="仿宋_GB2312" w:eastAsia="仿宋_GB2312" w:cs="仿宋_GB2312"/>
          <w:color w:val="auto"/>
          <w:sz w:val="32"/>
          <w:szCs w:val="32"/>
          <w:highlight w:val="none"/>
          <w:lang w:bidi="ar"/>
        </w:rPr>
        <w:t>的现状及影响</w:t>
      </w:r>
      <w:r>
        <w:rPr>
          <w:rFonts w:hint="eastAsia" w:ascii="仿宋_GB2312" w:hAnsi="仿宋_GB2312" w:eastAsia="仿宋_GB2312" w:cs="仿宋_GB2312"/>
          <w:color w:val="auto"/>
          <w:sz w:val="32"/>
          <w:szCs w:val="32"/>
          <w:highlight w:val="none"/>
          <w:lang w:bidi="ar"/>
        </w:rPr>
        <w:t>；（2）识别并分析制约人才供需高水平动态平衡的多维因素；（3）落实“投资于人”战略，构建“政校企生”多维视角理论模型；（4）提出政策制定、高校</w:t>
      </w:r>
      <w:r>
        <w:rPr>
          <w:rFonts w:hint="eastAsia" w:ascii="仿宋_GB2312" w:hAnsi="仿宋_GB2312" w:eastAsia="仿宋_GB2312" w:cs="仿宋_GB2312"/>
          <w:color w:val="auto"/>
          <w:sz w:val="32"/>
          <w:szCs w:val="32"/>
          <w:highlight w:val="none"/>
        </w:rPr>
        <w:t>改革等实践路径。</w:t>
      </w:r>
    </w:p>
    <w:p w14:paraId="245408A6">
      <w:pPr>
        <w:pStyle w:val="2"/>
        <w:keepNext w:val="0"/>
        <w:keepLines w:val="0"/>
        <w:widowControl/>
        <w:spacing w:line="360" w:lineRule="auto"/>
        <w:ind w:firstLine="640"/>
        <w:rPr>
          <w:rFonts w:hint="eastAsia" w:ascii="黑体" w:hAnsi="黑体" w:cs="黑体"/>
          <w:color w:val="auto"/>
          <w:szCs w:val="32"/>
          <w:highlight w:val="none"/>
        </w:rPr>
      </w:pPr>
      <w:r>
        <w:rPr>
          <w:rFonts w:hint="eastAsia" w:ascii="黑体" w:hAnsi="黑体" w:cs="黑体"/>
          <w:color w:val="auto"/>
          <w:szCs w:val="32"/>
          <w:highlight w:val="none"/>
        </w:rPr>
        <w:t>5.以美育促进小学生心理健康的课程开发与实施路径研究（一般）</w:t>
      </w:r>
    </w:p>
    <w:p w14:paraId="6EB72C82">
      <w:pPr>
        <w:spacing w:line="360" w:lineRule="auto"/>
        <w:ind w:firstLine="640" w:firstLineChars="200"/>
        <w:jc w:val="left"/>
        <w:rPr>
          <w:rFonts w:hint="eastAsia" w:ascii="仿宋_GB2312" w:hAnsi="仿宋_GB2312" w:eastAsia="仿宋_GB2312" w:cs="仿宋_GB2312"/>
          <w:color w:val="auto"/>
          <w:sz w:val="32"/>
          <w:szCs w:val="32"/>
          <w:highlight w:val="none"/>
          <w:lang w:bidi="ar"/>
        </w:rPr>
      </w:pPr>
      <w:r>
        <w:rPr>
          <w:rFonts w:hint="eastAsia" w:ascii="楷体_GB2312" w:hAnsi="楷体_GB2312" w:eastAsia="楷体_GB2312" w:cs="楷体_GB2312"/>
          <w:color w:val="auto"/>
          <w:sz w:val="32"/>
          <w:szCs w:val="32"/>
          <w:highlight w:val="none"/>
        </w:rPr>
        <w:t>指南意图：</w:t>
      </w:r>
      <w:r>
        <w:rPr>
          <w:rFonts w:hint="eastAsia" w:ascii="仿宋_GB2312" w:hAnsi="仿宋_GB2312" w:eastAsia="仿宋_GB2312" w:cs="仿宋_GB2312"/>
          <w:color w:val="auto"/>
          <w:sz w:val="32"/>
          <w:szCs w:val="32"/>
          <w:highlight w:val="none"/>
          <w:lang w:bidi="ar"/>
        </w:rPr>
        <w:t>（1）深入研究美育与心理健康教育融合的理论基础，构建符合儿童发展规律的</w:t>
      </w:r>
      <w:r>
        <w:rPr>
          <w:rFonts w:hint="eastAsia" w:ascii="仿宋_GB2312" w:hAnsi="仿宋_GB2312" w:eastAsia="仿宋_GB2312" w:cs="仿宋_GB2312"/>
          <w:color w:val="auto"/>
          <w:sz w:val="32"/>
          <w:szCs w:val="32"/>
          <w:highlight w:val="none"/>
          <w:lang w:eastAsia="zh-CN" w:bidi="ar"/>
        </w:rPr>
        <w:t>“</w:t>
      </w:r>
      <w:r>
        <w:rPr>
          <w:rFonts w:hint="eastAsia" w:ascii="仿宋_GB2312" w:hAnsi="仿宋_GB2312" w:eastAsia="仿宋_GB2312" w:cs="仿宋_GB2312"/>
          <w:color w:val="auto"/>
          <w:sz w:val="32"/>
          <w:szCs w:val="32"/>
          <w:highlight w:val="none"/>
          <w:lang w:bidi="ar"/>
        </w:rPr>
        <w:t>美术-心理</w:t>
      </w:r>
      <w:r>
        <w:rPr>
          <w:rFonts w:hint="eastAsia" w:ascii="仿宋_GB2312" w:hAnsi="仿宋_GB2312" w:eastAsia="仿宋_GB2312" w:cs="仿宋_GB2312"/>
          <w:color w:val="auto"/>
          <w:sz w:val="32"/>
          <w:szCs w:val="32"/>
          <w:highlight w:val="none"/>
          <w:lang w:eastAsia="zh-CN" w:bidi="ar"/>
        </w:rPr>
        <w:t>”</w:t>
      </w:r>
      <w:r>
        <w:rPr>
          <w:rFonts w:hint="eastAsia" w:ascii="仿宋_GB2312" w:hAnsi="仿宋_GB2312" w:eastAsia="仿宋_GB2312" w:cs="仿宋_GB2312"/>
          <w:color w:val="auto"/>
          <w:sz w:val="32"/>
          <w:szCs w:val="32"/>
          <w:highlight w:val="none"/>
          <w:lang w:bidi="ar"/>
        </w:rPr>
        <w:t>双维课程模型，明确课程目标与内容框架；（2）系统开发适用于小学的</w:t>
      </w:r>
      <w:r>
        <w:rPr>
          <w:rFonts w:hint="eastAsia" w:ascii="仿宋_GB2312" w:hAnsi="仿宋_GB2312" w:eastAsia="仿宋_GB2312" w:cs="仿宋_GB2312"/>
          <w:color w:val="auto"/>
          <w:sz w:val="32"/>
          <w:szCs w:val="32"/>
          <w:highlight w:val="none"/>
          <w:lang w:bidi="ar"/>
        </w:rPr>
        <w:t>表达性艺术治疗</w:t>
      </w:r>
      <w:r>
        <w:rPr>
          <w:rFonts w:hint="eastAsia" w:ascii="仿宋_GB2312" w:hAnsi="仿宋_GB2312" w:eastAsia="仿宋_GB2312" w:cs="仿宋_GB2312"/>
          <w:color w:val="auto"/>
          <w:sz w:val="32"/>
          <w:szCs w:val="32"/>
          <w:highlight w:val="none"/>
          <w:lang w:bidi="ar"/>
        </w:rPr>
        <w:t>活动资源包，包括课程教案、教学素材、评估工具及配套的师资培训方案，形成完整的教学支持体系；（3）建立科学有效的课程评价机制，研发涵盖创造力发展、情绪调节能力等方面的简单有效、适合小学生的心理健康评估工具；（4）探索可复制、可推广的区域实施路径，形成从课程开发、师资培训、教学实施到效果评估的一体化实施方案，为学校教育实践提供参考。</w:t>
      </w:r>
    </w:p>
    <w:p w14:paraId="212AD4B2">
      <w:pPr>
        <w:pStyle w:val="2"/>
        <w:keepNext w:val="0"/>
        <w:keepLines w:val="0"/>
        <w:widowControl/>
        <w:spacing w:line="360" w:lineRule="auto"/>
        <w:ind w:firstLine="640"/>
        <w:rPr>
          <w:rFonts w:hint="eastAsia" w:ascii="黑体" w:hAnsi="黑体" w:cs="黑体"/>
          <w:color w:val="auto"/>
          <w:szCs w:val="32"/>
          <w:highlight w:val="none"/>
        </w:rPr>
      </w:pPr>
      <w:r>
        <w:rPr>
          <w:rFonts w:hint="eastAsia" w:ascii="黑体" w:hAnsi="黑体" w:cs="黑体"/>
          <w:color w:val="auto"/>
          <w:szCs w:val="32"/>
          <w:highlight w:val="none"/>
        </w:rPr>
        <w:t>6.数智环境下体系化协同教学推进学生素质发展研究（一般）</w:t>
      </w:r>
    </w:p>
    <w:p w14:paraId="3C268360">
      <w:pPr>
        <w:spacing w:line="360" w:lineRule="auto"/>
        <w:ind w:firstLine="640" w:firstLineChars="200"/>
        <w:jc w:val="left"/>
        <w:rPr>
          <w:rFonts w:hint="eastAsia" w:ascii="仿宋_GB2312" w:hAnsi="仿宋_GB2312" w:eastAsia="仿宋_GB2312" w:cs="仿宋_GB2312"/>
          <w:color w:val="auto"/>
          <w:sz w:val="32"/>
          <w:szCs w:val="32"/>
          <w:highlight w:val="none"/>
          <w:lang w:bidi="ar"/>
        </w:rPr>
      </w:pPr>
      <w:r>
        <w:rPr>
          <w:rFonts w:hint="eastAsia" w:ascii="楷体_GB2312" w:hAnsi="楷体_GB2312" w:eastAsia="楷体_GB2312" w:cs="楷体_GB2312"/>
          <w:color w:val="auto"/>
          <w:sz w:val="32"/>
          <w:szCs w:val="32"/>
          <w:highlight w:val="none"/>
        </w:rPr>
        <w:t>指南意图：</w:t>
      </w:r>
      <w:r>
        <w:rPr>
          <w:rFonts w:hint="eastAsia" w:ascii="仿宋_GB2312" w:hAnsi="仿宋_GB2312" w:eastAsia="仿宋_GB2312" w:cs="仿宋_GB2312"/>
          <w:color w:val="auto"/>
          <w:sz w:val="32"/>
          <w:szCs w:val="32"/>
          <w:highlight w:val="none"/>
          <w:lang w:bidi="ar"/>
        </w:rPr>
        <w:t>（1）跨地域名师群体群智协同模式研究；（2）名师引领下基于设计行动研究模式研究；（3）乡村教师素养育人专业实践能力发展成效研究；（4）大规模教师群智协同下学生素养发展效果研究。最终形成体系化协同教学新范式。</w:t>
      </w:r>
    </w:p>
    <w:p w14:paraId="53EB2FC3">
      <w:pPr>
        <w:pStyle w:val="2"/>
        <w:keepNext w:val="0"/>
        <w:keepLines w:val="0"/>
        <w:widowControl/>
        <w:spacing w:line="360" w:lineRule="auto"/>
        <w:ind w:firstLine="640"/>
        <w:rPr>
          <w:rFonts w:hint="eastAsia" w:ascii="黑体" w:hAnsi="黑体" w:cs="黑体"/>
          <w:color w:val="auto"/>
          <w:szCs w:val="32"/>
          <w:highlight w:val="none"/>
        </w:rPr>
      </w:pPr>
      <w:r>
        <w:rPr>
          <w:rFonts w:hint="eastAsia" w:ascii="黑体" w:hAnsi="黑体" w:cs="黑体"/>
          <w:color w:val="auto"/>
          <w:szCs w:val="32"/>
          <w:highlight w:val="none"/>
        </w:rPr>
        <w:t>7.人才培养供需适配机制改革评价指标体系与监测系统构建研究（一般）</w:t>
      </w:r>
    </w:p>
    <w:p w14:paraId="56AF39DD">
      <w:pPr>
        <w:widowControl/>
        <w:numPr>
          <w:ilvl w:val="255"/>
          <w:numId w:val="0"/>
        </w:numPr>
        <w:spacing w:line="360" w:lineRule="auto"/>
        <w:ind w:firstLine="640"/>
        <w:jc w:val="left"/>
        <w:rPr>
          <w:rStyle w:val="7"/>
          <w:rFonts w:hint="eastAsia" w:ascii="仿宋_GB2312" w:hAnsi="仿宋_GB2312" w:eastAsia="仿宋_GB2312" w:cs="仿宋_GB2312"/>
          <w:bCs/>
          <w:color w:val="auto"/>
          <w:sz w:val="32"/>
          <w:szCs w:val="32"/>
          <w:highlight w:val="none"/>
          <w:shd w:val="clear" w:color="auto" w:fill="FFFFFF"/>
        </w:rPr>
      </w:pPr>
      <w:r>
        <w:rPr>
          <w:rFonts w:hint="eastAsia" w:ascii="楷体_GB2312" w:hAnsi="楷体_GB2312" w:eastAsia="楷体_GB2312" w:cs="楷体_GB2312"/>
          <w:color w:val="auto"/>
          <w:sz w:val="32"/>
          <w:szCs w:val="32"/>
          <w:highlight w:val="none"/>
        </w:rPr>
        <w:t>指南意图：</w:t>
      </w:r>
      <w:r>
        <w:rPr>
          <w:rFonts w:hint="eastAsia" w:ascii="仿宋_GB2312" w:hAnsi="仿宋_GB2312" w:eastAsia="仿宋_GB2312" w:cs="仿宋_GB2312"/>
          <w:color w:val="auto"/>
          <w:sz w:val="32"/>
          <w:szCs w:val="32"/>
          <w:highlight w:val="none"/>
          <w:lang w:bidi="ar"/>
        </w:rPr>
        <w:t>（1）依托省域或区域高等教育人才供需数据，梳理供需适配机制改革试点现状与问题；（2）构建科学可操作的多维度多层级改革评价指标体系，涵盖供给侧（高校学科专业、培养方案等）与需求侧（产业岗位、技能要求等）；（3）融合大数据技术，设计智能监测系统架构、功能模块，实现数据归集、动态监测与结果反馈，做到评价指标可量化、监测过程可追溯、改革成效可评估；（4）</w:t>
      </w:r>
      <w:r>
        <w:rPr>
          <w:rFonts w:hint="eastAsia" w:ascii="仿宋_GB2312" w:hAnsi="仿宋_GB2312" w:eastAsia="仿宋_GB2312" w:cs="仿宋_GB2312"/>
          <w:color w:val="auto"/>
          <w:sz w:val="32"/>
          <w:szCs w:val="32"/>
          <w:highlight w:val="none"/>
        </w:rPr>
        <w:t>提出监测结果与招生计划、培养方案、高质量就业的联动政策建议。</w:t>
      </w:r>
    </w:p>
    <w:p w14:paraId="1B3E90C0">
      <w:pPr>
        <w:pStyle w:val="2"/>
        <w:keepNext w:val="0"/>
        <w:keepLines w:val="0"/>
        <w:widowControl/>
        <w:spacing w:line="360" w:lineRule="auto"/>
        <w:ind w:firstLine="640"/>
        <w:rPr>
          <w:rFonts w:hint="eastAsia" w:ascii="黑体" w:hAnsi="黑体" w:cs="黑体"/>
          <w:color w:val="auto"/>
          <w:szCs w:val="32"/>
          <w:highlight w:val="none"/>
        </w:rPr>
      </w:pPr>
      <w:r>
        <w:rPr>
          <w:rFonts w:hint="eastAsia" w:ascii="黑体" w:hAnsi="黑体" w:cs="黑体"/>
          <w:color w:val="auto"/>
          <w:szCs w:val="32"/>
          <w:highlight w:val="none"/>
        </w:rPr>
        <w:t>8.高校“招生-培养-就业”联动机制研究（一般）</w:t>
      </w:r>
    </w:p>
    <w:p w14:paraId="1415283C">
      <w:pPr>
        <w:widowControl/>
        <w:numPr>
          <w:ilvl w:val="255"/>
          <w:numId w:val="0"/>
        </w:numPr>
        <w:spacing w:line="360" w:lineRule="auto"/>
        <w:ind w:firstLine="640"/>
        <w:jc w:val="left"/>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rPr>
        <w:t>指南意图：</w:t>
      </w:r>
      <w:r>
        <w:rPr>
          <w:rFonts w:hint="eastAsia" w:ascii="仿宋_GB2312" w:hAnsi="仿宋_GB2312" w:eastAsia="仿宋_GB2312" w:cs="仿宋_GB2312"/>
          <w:color w:val="auto"/>
          <w:sz w:val="32"/>
          <w:szCs w:val="32"/>
          <w:highlight w:val="none"/>
        </w:rPr>
        <w:t>（1）研究高校招生、培养、就业政策的制定依据和影响因素；（2）分析人才培养环节的目标差异和结构特点；（3）研究高校内部招生、培养、就业部门之间的协作方式和沟通机制；（4）研究政府、社会机构在推动高校“招生-培养-就业”联动机制中的作用和方式；（5）构建适应我国高校人才培养模式的“招生-培养-就业”全链条协同机制。</w:t>
      </w:r>
    </w:p>
    <w:p w14:paraId="57339A29">
      <w:pPr>
        <w:pStyle w:val="2"/>
        <w:keepNext w:val="0"/>
        <w:keepLines w:val="0"/>
        <w:widowControl/>
        <w:spacing w:line="360" w:lineRule="auto"/>
        <w:ind w:firstLine="640"/>
        <w:rPr>
          <w:rFonts w:hint="eastAsia" w:ascii="黑体" w:hAnsi="黑体" w:cs="黑体"/>
          <w:color w:val="auto"/>
          <w:szCs w:val="32"/>
          <w:highlight w:val="none"/>
        </w:rPr>
      </w:pPr>
      <w:r>
        <w:rPr>
          <w:rFonts w:hint="eastAsia" w:ascii="黑体" w:hAnsi="黑体" w:cs="黑体"/>
          <w:color w:val="auto"/>
          <w:szCs w:val="32"/>
          <w:highlight w:val="none"/>
        </w:rPr>
        <w:t>9.高中生涯教育实践模式与成效评价研究（一般）</w:t>
      </w:r>
    </w:p>
    <w:p w14:paraId="2280DE41">
      <w:pPr>
        <w:spacing w:line="360" w:lineRule="auto"/>
        <w:ind w:firstLine="640" w:firstLineChars="200"/>
        <w:jc w:val="left"/>
        <w:rPr>
          <w:rFonts w:hint="eastAsia" w:ascii="仿宋_GB2312" w:hAnsi="仿宋_GB2312" w:eastAsia="仿宋_GB2312" w:cs="仿宋_GB2312"/>
          <w:b/>
          <w:bCs/>
          <w:color w:val="auto"/>
          <w:sz w:val="32"/>
          <w:szCs w:val="32"/>
          <w:highlight w:val="none"/>
        </w:rPr>
      </w:pPr>
      <w:r>
        <w:rPr>
          <w:rFonts w:hint="eastAsia" w:ascii="楷体_GB2312" w:hAnsi="楷体_GB2312" w:eastAsia="楷体_GB2312" w:cs="楷体_GB2312"/>
          <w:color w:val="auto"/>
          <w:sz w:val="32"/>
          <w:szCs w:val="32"/>
          <w:highlight w:val="none"/>
        </w:rPr>
        <w:t>指南意图：</w:t>
      </w:r>
      <w:r>
        <w:rPr>
          <w:rFonts w:hint="eastAsia" w:ascii="仿宋_GB2312" w:hAnsi="仿宋_GB2312" w:eastAsia="仿宋_GB2312" w:cs="仿宋_GB2312"/>
          <w:color w:val="auto"/>
          <w:sz w:val="32"/>
          <w:szCs w:val="32"/>
          <w:highlight w:val="none"/>
        </w:rPr>
        <w:t>（1）探索符合学生需求的高中生涯教育实践模式，为学校提供实践指南，提升生涯教育的针对性与实效性；（2）结合实践模式，提出高中生涯教育成效评价指标和方法；（3）研发培训课程体系，为高中教师提升生涯教育专业能力和水平提供支撑。</w:t>
      </w:r>
    </w:p>
    <w:p w14:paraId="05664968">
      <w:pPr>
        <w:pStyle w:val="2"/>
        <w:keepNext w:val="0"/>
        <w:keepLines w:val="0"/>
        <w:widowControl/>
        <w:spacing w:line="360" w:lineRule="auto"/>
        <w:ind w:firstLine="640"/>
        <w:rPr>
          <w:rFonts w:hint="eastAsia" w:ascii="黑体" w:hAnsi="黑体" w:cs="黑体"/>
          <w:color w:val="auto"/>
          <w:szCs w:val="32"/>
          <w:highlight w:val="none"/>
        </w:rPr>
      </w:pPr>
      <w:r>
        <w:rPr>
          <w:rFonts w:hint="eastAsia" w:ascii="黑体" w:hAnsi="黑体" w:cs="黑体"/>
          <w:color w:val="auto"/>
          <w:szCs w:val="32"/>
          <w:highlight w:val="none"/>
        </w:rPr>
        <w:t>10.高校生涯教育与就业指导课程创新实践研究（一般）</w:t>
      </w:r>
    </w:p>
    <w:p w14:paraId="4E868E1C">
      <w:pPr>
        <w:spacing w:line="360" w:lineRule="auto"/>
        <w:ind w:firstLine="640" w:firstLineChars="200"/>
        <w:jc w:val="left"/>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rPr>
        <w:t>指南意图：</w:t>
      </w:r>
      <w:r>
        <w:rPr>
          <w:rFonts w:hint="eastAsia" w:ascii="仿宋_GB2312" w:hAnsi="仿宋_GB2312" w:eastAsia="仿宋_GB2312" w:cs="仿宋_GB2312"/>
          <w:color w:val="auto"/>
          <w:sz w:val="32"/>
          <w:szCs w:val="32"/>
          <w:highlight w:val="none"/>
        </w:rPr>
        <w:t>（1）探索具有时代特征、适应中国国情和文化的生涯教育与就业指导课程内容体系；（2）以就业育人为导向，基于校情、学情探索校本化课程实践路径；（3）构建多形式、多维度、体现生涯教育特色的课程成效评价体系。</w:t>
      </w:r>
    </w:p>
    <w:p w14:paraId="11B36AFF">
      <w:pPr>
        <w:pStyle w:val="2"/>
        <w:keepNext w:val="0"/>
        <w:keepLines w:val="0"/>
        <w:widowControl/>
        <w:spacing w:line="360" w:lineRule="auto"/>
        <w:ind w:firstLine="640"/>
        <w:rPr>
          <w:rFonts w:hint="eastAsia" w:ascii="黑体" w:hAnsi="黑体" w:cs="黑体"/>
          <w:color w:val="auto"/>
          <w:szCs w:val="32"/>
          <w:highlight w:val="none"/>
        </w:rPr>
      </w:pPr>
      <w:r>
        <w:rPr>
          <w:rFonts w:hint="eastAsia" w:ascii="黑体" w:hAnsi="黑体" w:cs="黑体"/>
          <w:color w:val="auto"/>
          <w:szCs w:val="32"/>
          <w:highlight w:val="none"/>
        </w:rPr>
        <w:t>11.高等教育人才供需适配评价研究（一般）</w:t>
      </w:r>
    </w:p>
    <w:p w14:paraId="61BE20E1">
      <w:pPr>
        <w:numPr>
          <w:ilvl w:val="255"/>
          <w:numId w:val="0"/>
        </w:numPr>
        <w:spacing w:line="360" w:lineRule="auto"/>
        <w:ind w:firstLine="643"/>
        <w:jc w:val="left"/>
        <w:rPr>
          <w:color w:val="auto"/>
          <w:highlight w:val="none"/>
        </w:rPr>
      </w:pPr>
      <w:r>
        <w:rPr>
          <w:rFonts w:hint="eastAsia" w:ascii="楷体_GB2312" w:hAnsi="楷体_GB2312" w:eastAsia="楷体_GB2312" w:cs="楷体_GB2312"/>
          <w:color w:val="auto"/>
          <w:sz w:val="32"/>
          <w:szCs w:val="32"/>
          <w:highlight w:val="none"/>
        </w:rPr>
        <w:t>指南意图：</w:t>
      </w:r>
      <w:r>
        <w:rPr>
          <w:rFonts w:hint="eastAsia" w:ascii="仿宋_GB2312" w:hAnsi="仿宋_GB2312" w:eastAsia="仿宋_GB2312" w:cs="仿宋_GB2312"/>
          <w:color w:val="auto"/>
          <w:sz w:val="32"/>
          <w:szCs w:val="32"/>
          <w:highlight w:val="none"/>
        </w:rPr>
        <w:t>（1）研究高等教育人才供给与经济社会发展需求适配的核心内涵、本质特征及影响机理，构建中国特色高等教育人才供需适配评价理论框架，重点基于就业视角深入分析；（2）研究编制省域、高校人才供需适配评价指标体系，选取不少于2个省份开展省域人才供需适配分析，选取不少于4所不同类型高校开展校级人才供需适配分析；（3）提出高等教育人才供需适配优化策略与政策建议，为国家人才供需对接大数据平台建设提供核心支撑。</w:t>
      </w:r>
    </w:p>
    <w:p w14:paraId="0C7B2F34">
      <w:pPr>
        <w:rPr>
          <w:color w:val="auto"/>
          <w:highlight w:val="none"/>
        </w:rPr>
      </w:pPr>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5C5B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E96D8D">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BE96D8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F521F3"/>
    <w:rsid w:val="029167E5"/>
    <w:rsid w:val="04D31D7F"/>
    <w:rsid w:val="1A535957"/>
    <w:rsid w:val="4AC512EA"/>
    <w:rsid w:val="52102850"/>
    <w:rsid w:val="53F521F3"/>
    <w:rsid w:val="5D7455F2"/>
    <w:rsid w:val="7A707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next w:val="1"/>
    <w:unhideWhenUsed/>
    <w:qFormat/>
    <w:uiPriority w:val="0"/>
    <w:pPr>
      <w:keepNext/>
      <w:keepLines/>
      <w:widowControl w:val="0"/>
      <w:spacing w:line="578" w:lineRule="exact"/>
      <w:ind w:firstLine="880" w:firstLineChars="200"/>
      <w:outlineLvl w:val="1"/>
    </w:pPr>
    <w:rPr>
      <w:rFonts w:ascii="Arial" w:hAnsi="Arial" w:eastAsia="黑体" w:cstheme="minorBidi"/>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