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ind w:right="0" w:rightChars="0"/>
        <w:jc w:val="left"/>
        <w:textAlignment w:val="auto"/>
        <w:outlineLvl w:val="1"/>
        <w:rPr>
          <w:rFonts w:hint="eastAsia" w:ascii="宋体" w:hAnsi="宋体" w:eastAsia="黑体" w:cs="方正黑体_GBK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宋体" w:hAnsi="宋体" w:eastAsia="黑体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ind w:right="0" w:rightChars="0"/>
        <w:jc w:val="center"/>
        <w:textAlignment w:val="auto"/>
        <w:rPr>
          <w:rFonts w:hint="eastAsia" w:ascii="宋体" w:hAnsi="宋体" w:eastAsia="方正小标宋_GBK" w:cs="方正小标宋_GBK"/>
          <w:bCs/>
          <w:color w:val="auto"/>
          <w:spacing w:val="0"/>
          <w:kern w:val="0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ind w:right="0" w:rightChars="0"/>
        <w:jc w:val="center"/>
        <w:textAlignment w:val="auto"/>
        <w:rPr>
          <w:rFonts w:hint="eastAsia" w:ascii="宋体" w:hAnsi="宋体" w:eastAsia="方正小标宋_GBK" w:cs="方正小标宋_GBK"/>
          <w:bCs/>
          <w:color w:val="auto"/>
          <w:spacing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_GBK" w:cs="方正小标宋_GBK"/>
          <w:bCs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委托法规语言审核专业辅助服务法规目录</w:t>
      </w:r>
    </w:p>
    <w:p>
      <w:pPr>
        <w:adjustRightInd w:val="0"/>
        <w:snapToGrid w:val="0"/>
        <w:spacing w:beforeLines="0" w:afterLines="0" w:line="590" w:lineRule="exact"/>
        <w:jc w:val="center"/>
        <w:rPr>
          <w:rFonts w:hint="eastAsia" w:ascii="宋体" w:hAnsi="宋体" w:eastAsia="楷体_GB2312" w:cs="楷体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（以2024年立法工作计划为依据，按照实际委托项目计算）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1.</w:t>
      </w: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广东省促进港澳青年在粤港澳大湾区</w:t>
      </w:r>
      <w:bookmarkStart w:id="0" w:name="_GoBack"/>
      <w:bookmarkEnd w:id="0"/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就业创业条例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2.</w:t>
      </w: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广东省粤港澳大湾区进口港澳药品医疗器械管理条例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3.广东省林长制条例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4.广东省成品油流通管理条例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5.广东省民用核设施核事故预防和应急管理条例（修改）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6.</w:t>
      </w: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广东省华侨捐赠兴办公益事业管理条例（修改）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7.广东省各级人民代表大会常务委员会规范性文件备案审查条例（修改）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i w:val="0"/>
          <w:iCs w:val="0"/>
          <w:snapToGrid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8.广东省社会保障卡居民服务一卡通条例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9.广东省公共文化服务促进条例（修改）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10.广东省见义勇为人员奖励和保障条例（修改）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11.广东省新型农村集体经济发展促进条例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12.广东省促进产业有序转移条例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13.广东省河湖长制条例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14.广东省家庭教育促进条例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15.广东省历史文化名城名镇名村保护条例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2"/>
          <w:bottom w:val="none" w:color="000000" w:sz="0" w:space="10"/>
          <w:right w:val="none" w:color="000000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"/>
        </w:rPr>
        <w:t>16.</w:t>
      </w:r>
      <w:r>
        <w:rPr>
          <w:rFonts w:hint="eastAsia" w:ascii="宋体" w:hAnsi="宋体" w:eastAsia="仿宋_GB2312" w:cs="仿宋_GB2312"/>
          <w:snapToGrid w:val="0"/>
          <w:color w:val="auto"/>
          <w:kern w:val="0"/>
          <w:sz w:val="32"/>
          <w:szCs w:val="32"/>
          <w:vertAlign w:val="baseline"/>
          <w:lang w:val="en-US" w:eastAsia="zh-CN" w:bidi="ar-SA"/>
        </w:rPr>
        <w:t>广东省</w:t>
      </w:r>
      <w:r>
        <w:rPr>
          <w:rFonts w:hint="eastAsia" w:ascii="宋体" w:hAnsi="宋体" w:eastAsia="仿宋_GB2312" w:cs="仿宋_GB2312"/>
          <w:smallCaps w:val="0"/>
          <w:snapToGrid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  <w:t>现代企业制度建设促进条例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